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40" w:before="170" w:after="0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32"/>
          <w:szCs w:val="32"/>
        </w:rPr>
        <w:t xml:space="preserve">SMLOUVA O VÝKONU FUNKCE JEDNATELE </w:t>
      </w:r>
    </w:p>
    <w:p>
      <w:pPr>
        <w:pStyle w:val="Normal"/>
        <w:widowControl/>
        <w:spacing w:lineRule="auto" w:line="240" w:before="170" w:after="0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uzavřená dle § 59 a násl. zákona č. 90/2012, o obchodních společnostech a družstvech (zákon o obchodních korporacích) (dále jen „ZOK“)</w:t>
      </w:r>
    </w:p>
    <w:p>
      <w:pPr>
        <w:pStyle w:val="Normal"/>
        <w:widowControl/>
        <w:spacing w:lineRule="auto" w:line="240" w:before="170" w:after="0"/>
        <w:jc w:val="center"/>
        <w:rPr>
          <w:rFonts w:cs="Arial"/>
        </w:rPr>
      </w:pPr>
      <w:r>
        <w:rPr>
          <w:rFonts w:ascii="Arial" w:hAnsi="Arial"/>
          <w:sz w:val="22"/>
          <w:szCs w:val="22"/>
        </w:rPr>
      </w:r>
    </w:p>
    <w:p>
      <w:pPr>
        <w:pStyle w:val="Nadpis1"/>
        <w:rPr/>
      </w:pPr>
      <w:r>
        <w:rPr/>
        <w:t>Účastníci</w:t>
      </w:r>
    </w:p>
    <w:p>
      <w:pPr>
        <w:pStyle w:val="Normal"/>
        <w:widowControl/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bCs/>
          <w:sz w:val="22"/>
          <w:szCs w:val="22"/>
        </w:rPr>
        <w:t>název</w:t>
        <w:tab/>
        <w:tab/>
        <w:t xml:space="preserve">     </w:t>
      </w:r>
    </w:p>
    <w:p>
      <w:pPr>
        <w:pStyle w:val="Normal"/>
        <w:widowControl/>
        <w:spacing w:lineRule="auto" w:line="240" w:before="0" w:after="0"/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cs="Calibri" w:ascii="Arial" w:hAnsi="Arial"/>
          <w:sz w:val="22"/>
          <w:szCs w:val="22"/>
          <w:lang w:val="cs-CZ"/>
        </w:rPr>
        <w:t>spisová značka</w:t>
      </w:r>
    </w:p>
    <w:p>
      <w:pPr>
        <w:pStyle w:val="Normal"/>
        <w:widowControl/>
        <w:spacing w:lineRule="auto" w:line="240" w:before="0" w:after="0"/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cs="Calibri" w:ascii="Arial" w:hAnsi="Arial"/>
          <w:sz w:val="22"/>
          <w:szCs w:val="22"/>
          <w:lang w:val="cs-CZ"/>
        </w:rPr>
        <w:t>IČ</w:t>
      </w:r>
    </w:p>
    <w:p>
      <w:pPr>
        <w:pStyle w:val="Normal"/>
        <w:widowControl/>
        <w:spacing w:lineRule="auto" w:line="240"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sídlo</w:t>
      </w:r>
    </w:p>
    <w:p>
      <w:pPr>
        <w:pStyle w:val="Normal"/>
        <w:widowControl/>
        <w:spacing w:lineRule="auto" w:line="240" w:before="0" w:after="0"/>
        <w:jc w:val="both"/>
        <w:rPr>
          <w:rFonts w:ascii="Arial" w:hAnsi="Arial" w:cs="Arial"/>
          <w:sz w:val="20"/>
          <w:szCs w:val="22"/>
          <w:lang w:val="cs-CZ"/>
        </w:rPr>
      </w:pPr>
      <w:r>
        <w:rPr>
          <w:rFonts w:cs="Arial" w:ascii="Arial" w:hAnsi="Arial"/>
          <w:sz w:val="22"/>
          <w:szCs w:val="22"/>
          <w:lang w:val="cs-CZ"/>
        </w:rPr>
        <w:t>zastoupený</w:t>
      </w:r>
    </w:p>
    <w:p>
      <w:pPr>
        <w:pStyle w:val="Normal"/>
        <w:widowControl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  <w:lang w:val="cs-CZ"/>
        </w:rPr>
        <w:t>(dále jen „</w:t>
      </w:r>
      <w:r>
        <w:rPr>
          <w:rFonts w:cs="Calibri" w:ascii="Arial" w:hAnsi="Arial"/>
          <w:b/>
          <w:bCs/>
          <w:sz w:val="22"/>
          <w:szCs w:val="22"/>
          <w:lang w:val="cs-CZ"/>
        </w:rPr>
        <w:t>společnost</w:t>
      </w:r>
      <w:r>
        <w:rPr>
          <w:rFonts w:cs="Calibri" w:ascii="Arial" w:hAnsi="Arial"/>
          <w:sz w:val="22"/>
          <w:szCs w:val="22"/>
          <w:lang w:val="cs-CZ"/>
        </w:rPr>
        <w:t>“)</w:t>
      </w:r>
    </w:p>
    <w:p>
      <w:pPr>
        <w:pStyle w:val="Normal"/>
        <w:widowControl/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/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 </w:t>
      </w:r>
    </w:p>
    <w:p>
      <w:pPr>
        <w:pStyle w:val="Normal"/>
        <w:widowControl/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/>
        <w:spacing w:lineRule="auto" w:line="240" w:before="0" w:after="0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jméno</w:t>
      </w:r>
      <w:r>
        <w:rPr>
          <w:rFonts w:ascii="Arial" w:hAnsi="Arial"/>
          <w:b/>
          <w:bCs/>
          <w:sz w:val="22"/>
          <w:szCs w:val="18"/>
        </w:rPr>
        <w:t xml:space="preserve"> </w:t>
      </w:r>
      <w:r>
        <w:rPr>
          <w:rFonts w:ascii="Arial" w:hAnsi="Arial"/>
          <w:b/>
          <w:bCs/>
          <w:sz w:val="22"/>
          <w:szCs w:val="18"/>
        </w:rPr>
        <w:t>a příjmení</w:t>
      </w:r>
    </w:p>
    <w:p>
      <w:pPr>
        <w:pStyle w:val="Normal"/>
        <w:widowControl/>
        <w:spacing w:lineRule="auto" w:line="240" w:before="0" w:after="0"/>
        <w:rPr>
          <w:szCs w:val="18"/>
          <w:highlight w:val="white"/>
        </w:rPr>
      </w:pPr>
      <w:r>
        <w:rPr>
          <w:rFonts w:ascii="Arial" w:hAnsi="Arial"/>
          <w:sz w:val="22"/>
          <w:szCs w:val="22"/>
          <w:shd w:fill="FFFFFF" w:val="clear"/>
        </w:rPr>
        <w:t>nar.</w:t>
      </w:r>
    </w:p>
    <w:p>
      <w:pPr>
        <w:pStyle w:val="Normal"/>
        <w:widowControl/>
        <w:spacing w:lineRule="auto" w:line="240" w:before="0" w:after="0"/>
        <w:rPr>
          <w:szCs w:val="18"/>
          <w:highlight w:val="white"/>
        </w:rPr>
      </w:pPr>
      <w:r>
        <w:rPr>
          <w:rFonts w:ascii="Arial" w:hAnsi="Arial"/>
          <w:sz w:val="22"/>
          <w:szCs w:val="22"/>
          <w:shd w:fill="FFFFFF" w:val="clear"/>
        </w:rPr>
        <w:t>bytem</w:t>
      </w:r>
    </w:p>
    <w:p>
      <w:pPr>
        <w:pStyle w:val="Normal"/>
        <w:widowControl/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(dále jen „</w:t>
      </w:r>
      <w:r>
        <w:rPr>
          <w:rFonts w:ascii="Arial" w:hAnsi="Arial"/>
          <w:b/>
          <w:bCs/>
          <w:sz w:val="22"/>
          <w:szCs w:val="22"/>
        </w:rPr>
        <w:t>jednatel</w:t>
      </w:r>
      <w:r>
        <w:rPr>
          <w:rFonts w:ascii="Arial" w:hAnsi="Arial"/>
          <w:sz w:val="22"/>
          <w:szCs w:val="22"/>
        </w:rPr>
        <w:t xml:space="preserve">“)  </w:t>
      </w:r>
    </w:p>
    <w:p>
      <w:pPr>
        <w:pStyle w:val="Normal"/>
        <w:widowControl/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uzavřeli dnešního dne ve smyslu shora uvedených obecně závazných právních předpisů následující závazkový vztah s níže vymezenými právy a povinnostmi obou smluvních stran.  </w:t>
      </w:r>
    </w:p>
    <w:p>
      <w:pPr>
        <w:pStyle w:val="Nadpis1"/>
        <w:rPr/>
      </w:pPr>
      <w:r>
        <w:rPr/>
        <w:t>Předmět smlouvy</w:t>
      </w:r>
    </w:p>
    <w:p>
      <w:pPr>
        <w:pStyle w:val="ListParagraph"/>
        <w:widowControl/>
        <w:numPr>
          <w:ilvl w:val="0"/>
          <w:numId w:val="2"/>
        </w:numPr>
        <w:spacing w:lineRule="auto" w:line="240" w:before="170" w:after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Předmětem této smlouvy je úprava vybraných právních a dalších vztahů mezi společností a jednatelem, které nejsou výlučně upraveny obecně závaznými právními předpisy České republiky. </w:t>
      </w:r>
    </w:p>
    <w:p>
      <w:pPr>
        <w:pStyle w:val="ListParagraph"/>
        <w:widowControl/>
        <w:numPr>
          <w:ilvl w:val="0"/>
          <w:numId w:val="2"/>
        </w:numPr>
        <w:spacing w:lineRule="auto" w:line="240" w:before="170" w:after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Jednatel se zavazuje vykonávat pro společnost funkci statutárního orgánu – jednatele (dále jen „funkce“). </w:t>
      </w:r>
    </w:p>
    <w:p>
      <w:pPr>
        <w:pStyle w:val="ListParagraph"/>
        <w:widowControl/>
        <w:numPr>
          <w:ilvl w:val="0"/>
          <w:numId w:val="2"/>
        </w:numPr>
        <w:spacing w:lineRule="auto" w:line="240" w:before="170" w:after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Společnost se zavazuje platit jednateli za výkon funkce odměnu dle této smlouvy. </w:t>
      </w:r>
    </w:p>
    <w:p>
      <w:pPr>
        <w:pStyle w:val="Nadpis1"/>
        <w:rPr/>
      </w:pPr>
      <w:r>
        <w:rPr/>
        <w:t xml:space="preserve">Odměna </w:t>
      </w:r>
    </w:p>
    <w:p>
      <w:pPr>
        <w:pStyle w:val="ListParagraph"/>
        <w:widowControl/>
        <w:numPr>
          <w:ilvl w:val="0"/>
          <w:numId w:val="3"/>
        </w:numPr>
        <w:spacing w:lineRule="auto" w:line="240" w:before="170" w:after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Jednateli přísluší za výkon funkce odměna, která činí 1</w:t>
      </w:r>
      <w:r>
        <w:rPr>
          <w:rFonts w:cs="Arial" w:ascii="Arial" w:hAnsi="Arial"/>
          <w:sz w:val="22"/>
          <w:szCs w:val="22"/>
        </w:rPr>
        <w:t>0</w:t>
      </w:r>
      <w:r>
        <w:rPr>
          <w:rFonts w:cs="Arial" w:ascii="Arial" w:hAnsi="Arial"/>
          <w:sz w:val="22"/>
          <w:szCs w:val="22"/>
        </w:rPr>
        <w:t>.</w:t>
      </w:r>
      <w:r>
        <w:rPr>
          <w:rFonts w:cs="Arial" w:ascii="Arial" w:hAnsi="Arial"/>
          <w:sz w:val="22"/>
          <w:szCs w:val="22"/>
        </w:rPr>
        <w:t>0</w:t>
      </w:r>
      <w:r>
        <w:rPr>
          <w:rFonts w:cs="Arial" w:ascii="Arial" w:hAnsi="Arial"/>
          <w:sz w:val="22"/>
          <w:szCs w:val="22"/>
        </w:rPr>
        <w:t>00 Kč měsíčně.</w:t>
      </w:r>
    </w:p>
    <w:p>
      <w:pPr>
        <w:pStyle w:val="ListParagraph"/>
        <w:widowControl/>
        <w:numPr>
          <w:ilvl w:val="0"/>
          <w:numId w:val="3"/>
        </w:numPr>
        <w:tabs/>
        <w:spacing w:lineRule="auto" w:line="240" w:before="0" w:after="0"/>
        <w:ind w:left="363" w:right="0" w:hanging="363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Odměna je splatná vždy ….. d</w:t>
      </w:r>
      <w:r>
        <w:rPr>
          <w:rFonts w:cs="Arial" w:ascii="Arial" w:hAnsi="Arial"/>
          <w:sz w:val="22"/>
          <w:szCs w:val="22"/>
        </w:rPr>
        <w:t>ne</w:t>
      </w:r>
      <w:r>
        <w:rPr>
          <w:rFonts w:cs="Arial" w:ascii="Arial" w:hAnsi="Arial"/>
          <w:sz w:val="22"/>
          <w:szCs w:val="22"/>
        </w:rPr>
        <w:t xml:space="preserve"> kalendářního měsíce následujícího po měsíci, ve kterém jednateli vznikl nárok na odměnu nebo na její jednotlivou složku. </w:t>
      </w:r>
    </w:p>
    <w:p>
      <w:pPr>
        <w:pStyle w:val="Nadpis1"/>
        <w:rPr>
          <w:rFonts w:ascii="Arial" w:hAnsi="Arial"/>
          <w:b/>
          <w:b/>
          <w:bCs/>
        </w:rPr>
      </w:pPr>
      <w:r>
        <w:rPr/>
        <w:t>Pracovní cesty</w:t>
      </w:r>
    </w:p>
    <w:p>
      <w:pPr>
        <w:pStyle w:val="Tlotextu"/>
        <w:widowControl/>
        <w:numPr>
          <w:ilvl w:val="0"/>
          <w:numId w:val="8"/>
        </w:numPr>
        <w:tabs>
          <w:tab w:val="left" w:pos="400" w:leader="none"/>
        </w:tabs>
        <w:bidi w:val="0"/>
        <w:spacing w:lineRule="auto" w:line="240" w:before="170" w:after="0"/>
        <w:ind w:left="397" w:right="0" w:hanging="397"/>
        <w:jc w:val="both"/>
        <w:rPr/>
      </w:pPr>
      <w:r>
        <w:rPr>
          <w:rFonts w:ascii="Arial" w:hAnsi="Arial"/>
          <w:sz w:val="22"/>
          <w:szCs w:val="22"/>
        </w:rPr>
        <w:t xml:space="preserve">Jednatel souhlasí, že může být společností vyslán na pracovní cestu (tuzemskou i zahraniční) a společnost se zavazuje k proplacení cestovních výdajů souvisejících s pracovní cestou dle </w:t>
      </w:r>
      <w:r>
        <w:rPr>
          <w:rFonts w:ascii="Arial" w:hAnsi="Arial"/>
          <w:sz w:val="22"/>
          <w:szCs w:val="22"/>
        </w:rPr>
        <w:t>zákoníku práce a souvisejících právních předpisů.</w:t>
      </w:r>
    </w:p>
    <w:p>
      <w:pPr>
        <w:pStyle w:val="Nadpis1"/>
        <w:rPr>
          <w:rFonts w:ascii="Arial" w:hAnsi="Arial"/>
          <w:b/>
          <w:b/>
          <w:bCs/>
        </w:rPr>
      </w:pPr>
      <w:r>
        <w:rPr/>
        <w:t>Povinnosti jednatele</w:t>
      </w:r>
    </w:p>
    <w:p>
      <w:pPr>
        <w:pStyle w:val="ListParagraph"/>
        <w:widowControl/>
        <w:numPr>
          <w:ilvl w:val="0"/>
          <w:numId w:val="4"/>
        </w:numPr>
        <w:spacing w:lineRule="auto" w:line="240" w:before="170" w:after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Jednatel je povinen vykonávat funkci v souladu se společenskou smlouvou společnosti a s platnými a účinnými právními předpisy České republiky a plnit veškeré povinnosti, které jednateli právní předpisy, společenská smlouva společnosti a tato smlouva ukládají. Jednatel je povinen vykonávat funkci osobně, s péčí řádného hospodáře a s nezbytnou loajalitou i s potřebnými znalostmi a pečlivostí. </w:t>
      </w:r>
    </w:p>
    <w:p>
      <w:pPr>
        <w:pStyle w:val="ListParagraph"/>
        <w:widowControl/>
        <w:numPr>
          <w:ilvl w:val="0"/>
          <w:numId w:val="4"/>
        </w:numPr>
        <w:spacing w:lineRule="auto" w:line="240" w:before="170" w:after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Jednatel je povinen zachovávat mlčenlivost o veškerých skutečnostech, o kterých se dozvěděl při výkonu funkce a jejichž poskytnutí třetí osobě by mohlo přivodit společnosti nebo jejím společníkům újmu. Jednatel se zavazuje nevyužít jakékoliv informace, jež se dozvěděl při výkonu funkce, k jinému účelu, než k plnění svých povinností dle této smlouvy a příslušných právních předpisů. Povinnost mlčenlivosti dle tohoto článku zůstává v platnosti i po ukončení této smlouvy. </w:t>
      </w:r>
    </w:p>
    <w:p>
      <w:pPr>
        <w:pStyle w:val="ListParagraph"/>
        <w:widowControl/>
        <w:numPr>
          <w:ilvl w:val="0"/>
          <w:numId w:val="4"/>
        </w:numPr>
        <w:spacing w:lineRule="auto" w:line="240" w:before="170" w:after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Při ukončení výkonu funkce jednatele z jakéhokoli důvodu vrátí jednatel společnosti neprodleně veškeré dokumenty týkající se společnosti, zejména pak smlouvy, korespondenci, účetní doklady, faktury, plné moci a další. Dále jednatel vrátí společnosti veškeré předměty a jiné věci, které obdržel od společnosti v souvislosti s výkonem své funkce. </w:t>
      </w:r>
    </w:p>
    <w:p>
      <w:pPr>
        <w:pStyle w:val="Nadpis1"/>
        <w:rPr>
          <w:rFonts w:ascii="Arial" w:hAnsi="Arial" w:cs="Arial"/>
          <w:b/>
          <w:b/>
          <w:bCs/>
          <w:sz w:val="20"/>
          <w:szCs w:val="20"/>
        </w:rPr>
      </w:pPr>
      <w:bookmarkStart w:id="0" w:name="__DdeLink__1467_201070121"/>
      <w:bookmarkEnd w:id="0"/>
      <w:r>
        <w:rPr>
          <w:sz w:val="28"/>
          <w:szCs w:val="28"/>
        </w:rPr>
        <w:t>Pov</w:t>
      </w:r>
      <w:r>
        <w:rPr/>
        <w:t>innosti společnosti</w:t>
      </w:r>
    </w:p>
    <w:p>
      <w:pPr>
        <w:pStyle w:val="ListParagraph"/>
        <w:widowControl/>
        <w:numPr>
          <w:ilvl w:val="0"/>
          <w:numId w:val="5"/>
        </w:numPr>
        <w:spacing w:lineRule="auto" w:line="240" w:before="170" w:after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Společnost se zavazuje vyplácet jednateli odměnu dle této smlouvy. </w:t>
      </w:r>
    </w:p>
    <w:p>
      <w:pPr>
        <w:pStyle w:val="ListParagraph"/>
        <w:widowControl/>
        <w:numPr>
          <w:ilvl w:val="0"/>
          <w:numId w:val="5"/>
        </w:numPr>
        <w:spacing w:lineRule="auto" w:line="240" w:before="170" w:after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Společnost se zavazuje poskytnout jednateli součinnost, aby mohl svou funkci vykonávat v souladu </w:t>
      </w:r>
      <w:r>
        <w:rPr>
          <w:rFonts w:cs="Arial" w:ascii="Arial" w:hAnsi="Arial"/>
          <w:sz w:val="22"/>
          <w:szCs w:val="22"/>
        </w:rPr>
        <w:t>s předchozím článkem.</w:t>
      </w:r>
    </w:p>
    <w:p>
      <w:pPr>
        <w:pStyle w:val="ListParagraph"/>
        <w:widowControl/>
        <w:numPr>
          <w:ilvl w:val="0"/>
          <w:numId w:val="5"/>
        </w:numPr>
        <w:spacing w:lineRule="auto" w:line="240" w:before="170" w:after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Společnost se zavazuje poskytnout jednateli veškeré informace a dokumenty nutné pro náležitý výkon funkce. </w:t>
      </w:r>
    </w:p>
    <w:p>
      <w:pPr>
        <w:pStyle w:val="Nadpis1"/>
        <w:rPr>
          <w:rFonts w:ascii="Arial" w:hAnsi="Arial"/>
          <w:sz w:val="20"/>
          <w:szCs w:val="20"/>
        </w:rPr>
      </w:pPr>
      <w:r>
        <w:rPr/>
        <w:t>Platnost a účinnost smlouvy</w:t>
      </w:r>
    </w:p>
    <w:p>
      <w:pPr>
        <w:pStyle w:val="Normal"/>
        <w:widowControl/>
        <w:numPr>
          <w:ilvl w:val="0"/>
          <w:numId w:val="7"/>
        </w:numPr>
        <w:spacing w:lineRule="auto" w:line="240" w:before="17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Tato smlouva nabývá platnos</w:t>
      </w:r>
      <w:r>
        <w:rPr>
          <w:rFonts w:ascii="Arial" w:hAnsi="Arial"/>
          <w:sz w:val="22"/>
          <w:szCs w:val="22"/>
          <w:shd w:fill="auto" w:val="clear"/>
        </w:rPr>
        <w:t xml:space="preserve">ti a účinnosti ke dni podpisu smlouvy </w:t>
      </w:r>
      <w:r>
        <w:rPr>
          <w:rFonts w:ascii="Arial" w:hAnsi="Arial"/>
          <w:sz w:val="22"/>
          <w:szCs w:val="22"/>
          <w:shd w:fill="auto" w:val="clear"/>
        </w:rPr>
        <w:t>nebo ke dni rozhodnutí nejvyššího orgánu o schválení této smlouvy, podle toho, který den nastane později</w:t>
      </w:r>
      <w:r>
        <w:rPr>
          <w:rFonts w:ascii="Arial" w:hAnsi="Arial"/>
          <w:sz w:val="22"/>
          <w:szCs w:val="22"/>
          <w:shd w:fill="auto" w:val="clear"/>
        </w:rPr>
        <w:t>. Od tohoto dne jsou obě smluvní strany touto smlouvou vázá</w:t>
      </w:r>
      <w:r>
        <w:rPr>
          <w:rFonts w:ascii="Arial" w:hAnsi="Arial"/>
          <w:sz w:val="22"/>
          <w:szCs w:val="22"/>
        </w:rPr>
        <w:t>ny.</w:t>
      </w:r>
    </w:p>
    <w:p>
      <w:pPr>
        <w:pStyle w:val="Normal"/>
        <w:widowControl/>
        <w:numPr>
          <w:ilvl w:val="0"/>
          <w:numId w:val="7"/>
        </w:numPr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Výkon funkce, tzn. i účinnost této smlouvy, zaniká uplynutím funkčního období, úmrtím člena, odstoupením z funkce </w:t>
      </w:r>
      <w:r>
        <w:rPr>
          <w:rFonts w:ascii="Arial" w:hAnsi="Arial"/>
          <w:sz w:val="22"/>
          <w:szCs w:val="22"/>
        </w:rPr>
        <w:t>nebo</w:t>
      </w:r>
      <w:r>
        <w:rPr>
          <w:rFonts w:ascii="Arial" w:hAnsi="Arial"/>
          <w:sz w:val="22"/>
          <w:szCs w:val="22"/>
        </w:rPr>
        <w:t xml:space="preserve"> odvoláním z funkce.</w:t>
      </w:r>
    </w:p>
    <w:p>
      <w:pPr>
        <w:pStyle w:val="Nadpis1"/>
        <w:rPr>
          <w:rFonts w:ascii="Arial" w:hAnsi="Arial" w:cs="Arial"/>
          <w:b/>
          <w:b/>
          <w:bCs/>
          <w:sz w:val="20"/>
          <w:szCs w:val="20"/>
        </w:rPr>
      </w:pPr>
      <w:r>
        <w:rPr/>
        <w:t>Závěrečná ustanovení</w:t>
      </w:r>
    </w:p>
    <w:p>
      <w:pPr>
        <w:pStyle w:val="ListParagraph"/>
        <w:widowControl/>
        <w:numPr>
          <w:ilvl w:val="0"/>
          <w:numId w:val="6"/>
        </w:numPr>
        <w:spacing w:lineRule="auto" w:line="240" w:before="170" w:after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Tato smlouva je vyhotovena ve dvou stejnopisech, z nichž každá ze smluvních stran obdrží po jednom. </w:t>
      </w:r>
    </w:p>
    <w:p>
      <w:pPr>
        <w:pStyle w:val="ListParagraph"/>
        <w:widowControl/>
        <w:numPr>
          <w:ilvl w:val="0"/>
          <w:numId w:val="6"/>
        </w:numPr>
        <w:tabs/>
        <w:spacing w:lineRule="auto" w:line="240" w:before="0" w:after="0"/>
        <w:ind w:left="720" w:right="0" w:hanging="72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Tato smlouva může být měněna a doplňována pouze formou písemných dodatků podepsaných oběma smluvními stranami. </w:t>
      </w:r>
    </w:p>
    <w:p>
      <w:pPr>
        <w:pStyle w:val="ListParagraph"/>
        <w:widowControl/>
        <w:numPr>
          <w:ilvl w:val="0"/>
          <w:numId w:val="6"/>
        </w:numPr>
        <w:tabs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eastAsia="TimesNewRomanPSMT" w:cs="Arial" w:ascii="Arial" w:hAnsi="Arial"/>
          <w:sz w:val="22"/>
          <w:szCs w:val="22"/>
          <w:shd w:fill="FFFFFF" w:val="clear"/>
        </w:rPr>
        <w:t>Smluvní strany uzavírají tuto smlouvu na základě svobodné a vážné vůle a prohlašují, že smlouva nebyla uzavřena v tísni nebo za nápadně nevýhodných podmínek</w:t>
      </w:r>
      <w:r>
        <w:rPr>
          <w:rFonts w:cs="Arial" w:ascii="Arial" w:hAnsi="Arial"/>
          <w:sz w:val="22"/>
          <w:szCs w:val="22"/>
        </w:rPr>
        <w:t xml:space="preserve">, na důkaz čehož připojují své podpisy. </w:t>
      </w:r>
    </w:p>
    <w:p>
      <w:pPr>
        <w:pStyle w:val="ListParagraph"/>
        <w:widowControl/>
        <w:tabs/>
        <w:spacing w:lineRule="auto" w:line="240" w:before="0" w:after="0"/>
        <w:jc w:val="both"/>
        <w:rPr>
          <w:rFonts w:cs="Arial"/>
        </w:rPr>
      </w:pPr>
      <w:r>
        <w:rPr>
          <w:rFonts w:ascii="Arial" w:hAnsi="Arial"/>
          <w:sz w:val="22"/>
          <w:szCs w:val="22"/>
        </w:rPr>
      </w:r>
    </w:p>
    <w:p>
      <w:pPr>
        <w:pStyle w:val="ListParagraph"/>
        <w:widowControl/>
        <w:tabs/>
        <w:spacing w:lineRule="auto" w:line="240" w:before="0" w:after="0"/>
        <w:jc w:val="both"/>
        <w:rPr>
          <w:rFonts w:cs="Arial"/>
        </w:rPr>
      </w:pPr>
      <w:r>
        <w:rPr>
          <w:rFonts w:ascii="Arial" w:hAnsi="Arial"/>
          <w:sz w:val="22"/>
          <w:szCs w:val="22"/>
        </w:rPr>
      </w:r>
    </w:p>
    <w:tbl>
      <w:tblPr>
        <w:tblW w:w="921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6"/>
        <w:gridCol w:w="4605"/>
      </w:tblGrid>
      <w:tr>
        <w:trPr/>
        <w:tc>
          <w:tcPr>
            <w:tcW w:w="4606" w:type="dxa"/>
            <w:tcBorders/>
            <w:shd w:fill="auto" w:val="clear"/>
          </w:tcPr>
          <w:p>
            <w:pPr>
              <w:pStyle w:val="Normal1"/>
              <w:spacing w:lineRule="auto" w:line="240" w:before="0" w:after="16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shd w:fill="FFFFFF" w:val="clear"/>
              </w:rPr>
              <w:t>V</w:t>
            </w:r>
            <w:r>
              <w:rPr>
                <w:rFonts w:cs="Arial" w:ascii="Arial" w:hAnsi="Arial"/>
                <w:sz w:val="22"/>
                <w:szCs w:val="22"/>
                <w:shd w:fill="FFFFFF" w:val="clear"/>
              </w:rPr>
              <w:t xml:space="preserve">             </w:t>
            </w:r>
            <w:r>
              <w:rPr>
                <w:rFonts w:cs="Arial" w:ascii="Arial" w:hAnsi="Arial"/>
                <w:color w:val="000000"/>
                <w:sz w:val="22"/>
                <w:szCs w:val="22"/>
                <w:shd w:fill="FFFFFF" w:val="clear"/>
              </w:rPr>
              <w:t>dne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1"/>
              <w:spacing w:lineRule="auto" w:line="240" w:before="0" w:after="16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shd w:fill="FFFFFF" w:val="clear"/>
              </w:rPr>
              <w:t>V</w:t>
            </w:r>
            <w:r>
              <w:rPr>
                <w:rFonts w:cs="Arial" w:ascii="Arial" w:hAnsi="Arial"/>
                <w:sz w:val="22"/>
                <w:szCs w:val="22"/>
                <w:shd w:fill="FFFFFF" w:val="clear"/>
              </w:rPr>
              <w:t xml:space="preserve">             </w:t>
            </w:r>
            <w:r>
              <w:rPr>
                <w:rFonts w:cs="Arial" w:ascii="Arial" w:hAnsi="Arial"/>
                <w:color w:val="000000"/>
                <w:sz w:val="22"/>
                <w:szCs w:val="22"/>
                <w:shd w:fill="FFFFFF" w:val="clear"/>
              </w:rPr>
              <w:t>dne</w:t>
            </w:r>
          </w:p>
        </w:tc>
      </w:tr>
      <w:tr>
        <w:trPr/>
        <w:tc>
          <w:tcPr>
            <w:tcW w:w="4606" w:type="dxa"/>
            <w:tcBorders/>
            <w:shd w:fill="auto" w:val="clear"/>
          </w:tcPr>
          <w:p>
            <w:pPr>
              <w:pStyle w:val="Normal1"/>
              <w:spacing w:lineRule="auto" w:line="240" w:before="0" w:after="160"/>
              <w:rPr/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shd w:fill="FFFFFF" w:val="clear"/>
              </w:rPr>
              <w:t>společnost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1"/>
              <w:spacing w:lineRule="auto" w:line="240" w:before="0" w:after="160"/>
              <w:rPr/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shd w:fill="FFFFFF" w:val="clear"/>
              </w:rPr>
              <w:t>jednatel</w:t>
            </w:r>
          </w:p>
        </w:tc>
      </w:tr>
      <w:tr>
        <w:trPr/>
        <w:tc>
          <w:tcPr>
            <w:tcW w:w="4606" w:type="dxa"/>
            <w:tcBorders/>
            <w:shd w:fill="auto" w:val="clear"/>
          </w:tcPr>
          <w:p>
            <w:pPr>
              <w:pStyle w:val="Normal1"/>
              <w:snapToGrid w:val="false"/>
              <w:spacing w:lineRule="auto" w:line="240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highlight w:val="white"/>
              </w:rPr>
            </w:r>
          </w:p>
          <w:p>
            <w:pPr>
              <w:pStyle w:val="Normal1"/>
              <w:spacing w:lineRule="auto" w:line="240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highlight w:val="white"/>
              </w:rPr>
            </w:r>
          </w:p>
          <w:p>
            <w:pPr>
              <w:pStyle w:val="Normal1"/>
              <w:spacing w:lineRule="auto" w:line="240" w:before="0" w:after="16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shd w:fill="FFFFFF" w:val="clear"/>
              </w:rPr>
              <w:t>___________________________________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1"/>
              <w:snapToGrid w:val="false"/>
              <w:spacing w:lineRule="auto" w:line="240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highlight w:val="white"/>
              </w:rPr>
            </w:r>
          </w:p>
          <w:p>
            <w:pPr>
              <w:pStyle w:val="Normal1"/>
              <w:spacing w:lineRule="auto" w:line="240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highlight w:val="white"/>
              </w:rPr>
            </w:r>
          </w:p>
          <w:p>
            <w:pPr>
              <w:pStyle w:val="Normal1"/>
              <w:spacing w:lineRule="auto" w:line="240" w:before="0" w:after="16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shd w:fill="FFFFFF" w:val="clear"/>
              </w:rPr>
              <w:t>___________________________________</w:t>
            </w:r>
          </w:p>
        </w:tc>
      </w:tr>
      <w:tr>
        <w:trPr/>
        <w:tc>
          <w:tcPr>
            <w:tcW w:w="4606" w:type="dxa"/>
            <w:tcBorders/>
            <w:shd w:fill="auto" w:val="clear"/>
          </w:tcPr>
          <w:p>
            <w:pPr>
              <w:pStyle w:val="Normal1"/>
              <w:spacing w:lineRule="auto" w:line="240" w:before="0" w:after="16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shd w:fill="FFFFFF" w:val="clear"/>
              </w:rPr>
              <w:t>Jméno, popř. pozice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1"/>
              <w:spacing w:lineRule="auto" w:line="240" w:before="0" w:after="16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shd w:fill="FFFFFF" w:val="clear"/>
              </w:rPr>
              <w:t>Jméno, pozice</w:t>
            </w:r>
          </w:p>
        </w:tc>
      </w:tr>
    </w:tbl>
    <w:p>
      <w:pPr>
        <w:pStyle w:val="Normal"/>
        <w:widowControl/>
        <w:spacing w:lineRule="auto" w:line="240" w:before="170" w:after="0"/>
        <w:rPr>
          <w:rFonts w:cs="Arial"/>
        </w:rPr>
      </w:pPr>
      <w:r>
        <w:rPr>
          <w:rFonts w:ascii="Arial" w:hAnsi="Arial"/>
          <w:sz w:val="22"/>
          <w:szCs w:val="22"/>
        </w:rPr>
      </w:r>
    </w:p>
    <w:sectPr>
      <w:footerReference w:type="default" r:id="rId2"/>
      <w:type w:val="nextPage"/>
      <w:pgSz w:w="11906" w:h="16838"/>
      <w:pgMar w:left="1247" w:right="1247" w:header="0" w:top="1134" w:footer="397" w:bottom="963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01"/>
    <w:family w:val="swiss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spacing w:before="0" w:after="160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Strana </w:t>
    </w:r>
    <w:r>
      <w:rPr>
        <w:rFonts w:ascii="Arial" w:hAnsi="Arial"/>
        <w:sz w:val="16"/>
        <w:szCs w:val="16"/>
      </w:rPr>
      <w:fldChar w:fldCharType="begin"/>
    </w:r>
    <w:r>
      <w:rPr>
        <w:sz w:val="16"/>
        <w:szCs w:val="16"/>
        <w:rFonts w:ascii="Arial" w:hAnsi="Arial"/>
      </w:rPr>
      <w:instrText> PAGE </w:instrText>
    </w:r>
    <w:r>
      <w:rPr>
        <w:sz w:val="16"/>
        <w:szCs w:val="16"/>
        <w:rFonts w:ascii="Arial" w:hAnsi="Arial"/>
      </w:rPr>
      <w:fldChar w:fldCharType="separate"/>
    </w:r>
    <w:r>
      <w:rPr>
        <w:sz w:val="16"/>
        <w:szCs w:val="16"/>
        <w:rFonts w:ascii="Arial" w:hAnsi="Arial"/>
      </w:rPr>
      <w:t>2</w:t>
    </w:r>
    <w:r>
      <w:rPr>
        <w:sz w:val="16"/>
        <w:szCs w:val="16"/>
        <w:rFonts w:ascii="Arial" w:hAnsi="Arial"/>
      </w:rPr>
      <w:fldChar w:fldCharType="end"/>
    </w:r>
    <w:r>
      <w:rPr>
        <w:rFonts w:ascii="Arial" w:hAnsi="Arial"/>
        <w:sz w:val="16"/>
        <w:szCs w:val="16"/>
      </w:rPr>
      <w:t>/</w:t>
    </w:r>
    <w:r>
      <w:rPr>
        <w:rFonts w:ascii="Arial" w:hAnsi="Arial"/>
        <w:sz w:val="16"/>
        <w:szCs w:val="16"/>
      </w:rPr>
      <w:fldChar w:fldCharType="begin"/>
    </w:r>
    <w:r>
      <w:rPr>
        <w:sz w:val="16"/>
        <w:szCs w:val="16"/>
        <w:rFonts w:ascii="Arial" w:hAnsi="Arial"/>
      </w:rPr>
      <w:instrText> NUMPAGES </w:instrText>
    </w:r>
    <w:r>
      <w:rPr>
        <w:sz w:val="16"/>
        <w:szCs w:val="16"/>
        <w:rFonts w:ascii="Arial" w:hAnsi="Arial"/>
      </w:rPr>
      <w:fldChar w:fldCharType="separate"/>
    </w:r>
    <w:r>
      <w:rPr>
        <w:sz w:val="16"/>
        <w:szCs w:val="16"/>
        <w:rFonts w:ascii="Arial" w:hAnsi="Arial"/>
      </w:rPr>
      <w:t>2</w:t>
    </w:r>
    <w:r>
      <w:rPr>
        <w:sz w:val="16"/>
        <w:szCs w:val="16"/>
        <w:rFonts w:ascii="Arial" w:hAnsi="Arial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upperRoman"/>
      <w:lvlText w:val="%1."/>
      <w:lvlJc w:val="left"/>
      <w:pPr>
        <w:ind w:left="0" w:hanging="0"/>
      </w:pPr>
    </w:lvl>
    <w:lvl w:ilvl="1">
      <w:start w:val="1"/>
      <w:pStyle w:val="Nadpis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(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Times New Roman" w:asciiTheme="minorHAns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adpis"/>
    <w:next w:val="Tlotextu"/>
    <w:qFormat/>
    <w:pPr>
      <w:numPr>
        <w:ilvl w:val="0"/>
        <w:numId w:val="1"/>
      </w:numPr>
      <w:spacing w:before="240" w:after="120"/>
      <w:outlineLvl w:val="0"/>
    </w:pPr>
    <w:rPr>
      <w:rFonts w:ascii="Arial" w:hAnsi="Arial"/>
      <w:b/>
      <w:bCs/>
      <w:sz w:val="28"/>
      <w:szCs w:val="36"/>
    </w:rPr>
  </w:style>
  <w:style w:type="paragraph" w:styleId="Nadpis2">
    <w:name w:val="Heading 2"/>
    <w:basedOn w:val="Nadpis"/>
    <w:next w:val="Tlotextu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ymbolyproslovn">
    <w:name w:val="Symboly pro číslování"/>
    <w:qFormat/>
    <w:rPr/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40" w:before="170" w:after="0"/>
    </w:pPr>
    <w:rPr>
      <w:rFonts w:ascii="Arial" w:hAnsi="Arial"/>
      <w:sz w:val="20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82004"/>
    <w:pPr>
      <w:keepNext w:val="true"/>
      <w:spacing w:before="0" w:after="160"/>
      <w:ind w:left="720" w:hanging="0"/>
      <w:contextualSpacing/>
    </w:pPr>
    <w:rPr/>
  </w:style>
  <w:style w:type="paragraph" w:styleId="Podtitul">
    <w:name w:val="Subtitle"/>
    <w:basedOn w:val="Nadpis"/>
    <w:qFormat/>
    <w:pPr>
      <w:jc w:val="center"/>
    </w:pPr>
    <w:rPr>
      <w:i/>
      <w:iCs/>
      <w:sz w:val="28"/>
      <w:szCs w:val="28"/>
    </w:rPr>
  </w:style>
  <w:style w:type="paragraph" w:styleId="Normal1">
    <w:name w:val="Normal1"/>
    <w:basedOn w:val="Normal"/>
    <w:qFormat/>
    <w:pPr>
      <w:widowControl/>
      <w:spacing w:lineRule="auto" w:line="204"/>
    </w:pPr>
    <w:rPr>
      <w:sz w:val="24"/>
    </w:rPr>
  </w:style>
  <w:style w:type="paragraph" w:styleId="Zpat">
    <w:name w:val="Footer"/>
    <w:basedOn w:val="Normal"/>
    <w:pPr>
      <w:suppressLineNumbers/>
      <w:tabs>
        <w:tab w:val="center" w:pos="4535" w:leader="none"/>
        <w:tab w:val="right" w:pos="907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LibreOffice/6.1.0.3$Windows_X86_64 LibreOffice_project/efb621ed25068d70781dc026f7e9c5187a4decd1</Application>
  <Pages>2</Pages>
  <Words>564</Words>
  <Characters>3379</Characters>
  <CharactersWithSpaces>3922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2019-03-04T04:22:27Z</dcterms:created>
  <dc:creator/>
  <dc:description/>
  <dc:language>cs-CZ</dc:language>
  <cp:lastModifiedBy/>
  <cp:revision>1</cp:revision>
  <dc:subject/>
  <dc:title/>
</cp:coreProperties>
</file>